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Style w:val="Heading1"/>
        <w:jc w:val="center"/>
        <w:rPr>
          <w:color w:val="000000"/>
        </w:rPr>
      </w:pPr>
      <w:r w:rsidR="00000000" w:rsidDel="00000000" w:rsidRPr="00000000">
        <w:rPr>
          <w:rtl w:val="0"/>
          <w:color w:val="000000"/>
        </w:rPr>
        <w:t>CODE OF CONDUCT</w:t>
      </w:r>
      <w:r>
        <w:rPr>
          <w:noProof/>
        </w:rPr>
        <w:drawing>
          <wp:anchor distT="0" distB="0" distR="114300" distL="114300" relativeHeight="0" behindDoc="0" allowOverlap="1" hidden="0" layoutInCell="1" locked="0" simplePos="0">
            <wp:simplePos x="0" y="0"/>
            <wp:positionH relativeFrom="column">
              <wp:posOffset>114300</wp:posOffset>
            </wp:positionH>
            <wp:positionV relativeFrom="paragraph">
              <wp:posOffset>52070</wp:posOffset>
            </wp:positionV>
            <wp:extent cx="1109345" cy="1433195"/>
            <wp:effectExtent b="0" l="0" r="0" t="0"/>
            <wp:wrapSquare wrapText="bothSides" distB="0" distL="114300" distR="11430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09663" cy="1433314"/>
                    </a:xfrm>
                    <a:prstGeom prst="rect"/>
                    <a:ln/>
                  </pic:spPr>
                </pic:pic>
              </a:graphicData>
            </a:graphic>
          </wp:anchor>
        </w:drawing>
      </w:r>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 w:rsidR="00000000" w:rsidDel="00000000" w:rsidRPr="00000000">
        <w:rPr>
          <w:rtl w:val="0"/>
        </w:rPr>
        <w:tab/>
      </w:r>
    </w:p>
    <w:p w:rsidR="00000000" w:rsidDel="00000000" w:rsidRDefault="00000000" w14:paraId="00000004" w:rsidP="00000000" w:rsidRPr="00000000">
      <w:pPr>
        <w:rPr>
          <w:b/>
          <w:u w:val="single"/>
        </w:rPr>
      </w:pPr>
      <w:r w:rsidR="00000000" w:rsidDel="00000000" w:rsidRPr="00000000">
        <w:rPr>
          <w:rtl w:val="0"/>
          <w:b/>
          <w:u w:val="single"/>
        </w:rPr>
        <w:t>INTRODUCTION</w:t>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This policy identifies the standard of behaviour, which is expected of all Almonte Pakenham Minor Hockey Association (APMHA) members, including but not limited to players, executive members, conveners, coaches, assistant coaches, trainers, managers and any other team officials, on or off-ice game officials, and any other recognized volunteers.  It also applies to any individuals who, although not directly employed by, nor a registered member of a team within, nor a volunteer for the APMHA, is considered to have a vested interest in amateur hockey, and/or a strong influence on any of its members; for example, parents/guardians, family members or spectators.</w:t>
      </w:r>
      <w:r w:rsidR="00000000" w:rsidDel="00000000" w:rsidRPr="00000000">
        <w:rPr>
          <w:rtl w:val="0"/>
        </w:rPr>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i w:val="0"/>
          <w:u w:val="single"/>
          <w:strike w:val="0"/>
          <w:color w:val="000000"/>
          <w:rFonts w:ascii="Calibri" w:cs="Calibri" w:eastAsia="Calibri" w:hAnsi="Calibri"/>
          <w:sz w:val="22"/>
          <w:szCs w:val="22"/>
          <w:smallCaps w:val="0"/>
          <w:shd w:fill="auto" w:val="clear"/>
        </w:rPr>
      </w:pPr>
      <w:r w:rsidR="00000000" w:rsidDel="00000000" w:rsidRPr="00000000">
        <w:rPr>
          <w:rtl w:val="0"/>
          <w:b/>
          <w:i w:val="0"/>
          <w:u w:val="single"/>
          <w:strike w:val="0"/>
          <w:color w:val="000000"/>
          <w:rFonts w:ascii="Calibri" w:cs="Calibri" w:eastAsia="Calibri" w:hAnsi="Calibri"/>
          <w:sz w:val="22"/>
          <w:szCs w:val="22"/>
          <w:smallCaps w:val="0"/>
          <w:shd w:fill="auto" w:val="clear"/>
        </w:rPr>
        <w:t>CONDUCT MANAGEMENT</w:t>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The APMHA is dedicated to providing an environment whereby all individuals are treated with respect.   It is expected all APMHA members shall conduct themselves in a fair and responsible manner.  The APMHA has a zero tolerance for any behaviour which is disrespectful, offensive, abusive, racist or sexist.  It is the duty of the APMHA to protect all participants from all forms of abuse and harassment, whether emotional, physical, neglectful, sexual or of the bullying type, while participating in a APMHA sanctioned event.  The APMHA considers any form of abuse or harassment to be unacceptable and will take appropriate measures to prevent this intolerable social problem.  The APMHA will not tolerate any form of abuse or harassment towards any participant within the APMHA.  It is the expectation of the APMHA, every executive member, team or game official, volunteer, parent and player/participant to take all reasonable steps to safeguard the welfare of its participants and protect them from any form of maltreatment.</w:t>
      </w:r>
      <w:r w:rsidR="00000000" w:rsidDel="00000000" w:rsidRPr="00000000">
        <w:rPr>
          <w:rtl w:val="0"/>
        </w:rPr>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Any member of the APMHA whose conduct establishes: violent or harassing behaviour against children, youth or adults; violations of positions of trust; abuse of a physical, sexual or emotional nature; substance or chemical abuse; or other violations, may be suspended, dismissed and/or not accepted as a volunteer or executive member.  This may include any parent, guardian, adult or spectator, whose conduct during any APMHA sanctioned event/activity, is legitimately deemed to be disruptive, unsafe or non-conducive to the wellbeing of the game of hockey.</w:t>
      </w:r>
      <w:r w:rsidR="00000000" w:rsidDel="00000000" w:rsidRPr="00000000">
        <w:rPr>
          <w:rtl w:val="0"/>
        </w:rPr>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i w:val="0"/>
          <w:u w:val="single"/>
          <w:strike w:val="0"/>
          <w:color w:val="000000"/>
          <w:rFonts w:ascii="Calibri" w:cs="Calibri" w:eastAsia="Calibri" w:hAnsi="Calibri"/>
          <w:sz w:val="22"/>
          <w:szCs w:val="22"/>
          <w:smallCaps w:val="0"/>
          <w:shd w:fill="auto" w:val="clear"/>
        </w:rPr>
      </w:pPr>
      <w:r w:rsidR="00000000" w:rsidDel="00000000" w:rsidRPr="00000000">
        <w:rPr>
          <w:rtl w:val="0"/>
          <w:b/>
          <w:i w:val="0"/>
          <w:u w:val="single"/>
          <w:strike w:val="0"/>
          <w:color w:val="000000"/>
          <w:rFonts w:ascii="Calibri" w:cs="Calibri" w:eastAsia="Calibri" w:hAnsi="Calibri"/>
          <w:sz w:val="22"/>
          <w:szCs w:val="22"/>
          <w:smallCaps w:val="0"/>
          <w:shd w:fill="auto" w:val="clear"/>
        </w:rPr>
        <w:t>BEHAVIOURS</w:t>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Abuse is defined as any form of physical, emotional and/or sexual mistreatment or lack of care, which causes physical injury or emotional damage to a child or youth. A common characteristic of all forms of abuse against children and youth is an abuse of power or authority and/or a breach of trust.</w:t>
      </w:r>
      <w:r w:rsidR="00000000" w:rsidDel="00000000" w:rsidRPr="00000000">
        <w:rPr>
          <w:rtl w:val="0"/>
        </w:rPr>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Emotional Abuse is a chronic attack on a child’s self-esteem; it is psychologically destructive behaviour by a person in a position of power, authority or trust. It can take the form of name-calling, threatening, ridiculing, berating, intimidating, isolating, hazing or ignoring a child’s needs.</w:t>
      </w:r>
      <w:r w:rsidR="00000000" w:rsidDel="00000000" w:rsidRPr="00000000">
        <w:rPr>
          <w:rtl w:val="0"/>
        </w:rPr>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Physical Abuse is when a person in a position of power or trust purposefully uses, or threatens to use physical force or action that results in or could result in an injury, impairment, intense or prolonged pain to a child or a child’s death. This may take the form of slapping, hitting, shaking, kicking, pulling hair or ears, throwing, shoving, grabbing, assaulting, burning, poisoning, hazing or using excessive exercise as a form of punishment.</w:t>
      </w:r>
      <w:r w:rsidR="00000000" w:rsidDel="00000000" w:rsidRPr="00000000">
        <w:rPr>
          <w:rtl w:val="0"/>
        </w:rPr>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Sexual Abuse is when a young person is used by an older child, adolescent or adult, for his/her own sexual stimulation or gratification.</w:t>
      </w:r>
      <w:r w:rsidR="00000000" w:rsidDel="00000000" w:rsidRPr="00000000">
        <w:rPr>
          <w:rtl w:val="0"/>
        </w:rPr>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Neglect is the inability or unwillingness of those responsible for the care of a child to meet the physical, medical and/or developmental needs of the child, including inattention to the basic necessities of life such as clothing, shelter, nutritious diet, education, good hygiene, supervision, medical and dental care, adequate rest, safe environment, moral guidance and discipline, exercise and fresh air. This may occur in hockey when injuries are not adequately treated or players are made to play with injuries, equipment is inadequate or unsafe, no one intervenes when team members are persistently harassing another player, or road trips are not properly supervised. Not always intentional, neglect may be a result of insufficient resources or other circumstances beyond a person’s control.</w:t>
      </w:r>
      <w:r w:rsidR="00000000" w:rsidDel="00000000" w:rsidRPr="00000000">
        <w:rPr>
          <w:rtl w:val="0"/>
        </w:rPr>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Harassment is defined as conduct/behaviour, by one person towards another, which is insulting, intimidating, humiliating, malicious, degrading or offensive. It creates negative and uncomfortable feelings for the person, or group of persons, to whom it is directed. Any of the different forms of harassment may be based on grounds prohibited by human rights legislation, such as race, ethnicity, sex, sexual orientation or religion. It may be between peers (e.g. player to player of the same age group, parent to official, coach to coach), or between someone in a position of power or authority and an adult in a subordinate position (eg. Coach to player, sports administrator to employee). Harassment covers a wide spectrum of behaviours; subsequently the response must be an appropriate and fair one, allowing adequate opportunity for all involved parties to collect all relevant information.</w:t>
      </w:r>
      <w:r w:rsidR="00000000" w:rsidDel="00000000" w:rsidRPr="00000000">
        <w:rPr>
          <w:rtl w:val="0"/>
        </w:rPr>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Bullying is a unique phenomenon. It describes behaviours between children under the age of twelve which are reflective of harassment, intimidation and discrimination. It can also describe behaviours between youth and between adults which are cruel, demeaning and hostile but are not addressed under human rights legislation or criminal codes.</w:t>
      </w:r>
      <w:r w:rsidR="00000000" w:rsidDel="00000000" w:rsidRPr="00000000">
        <w:rPr>
          <w:rtl w:val="0"/>
        </w:rPr>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i w:val="0"/>
          <w:u w:val="single"/>
          <w:strike w:val="0"/>
          <w:color w:val="000000"/>
          <w:rFonts w:ascii="Calibri" w:cs="Calibri" w:eastAsia="Calibri" w:hAnsi="Calibri"/>
          <w:sz w:val="22"/>
          <w:szCs w:val="22"/>
          <w:smallCaps w:val="0"/>
          <w:shd w:fill="auto" w:val="clear"/>
        </w:rPr>
      </w:pPr>
      <w:r w:rsidR="00000000" w:rsidDel="00000000" w:rsidRPr="00000000">
        <w:rPr>
          <w:rtl w:val="0"/>
          <w:b/>
          <w:i w:val="0"/>
          <w:u w:val="single"/>
          <w:strike w:val="0"/>
          <w:color w:val="000000"/>
          <w:rFonts w:ascii="Calibri" w:cs="Calibri" w:eastAsia="Calibri" w:hAnsi="Calibri"/>
          <w:sz w:val="22"/>
          <w:szCs w:val="22"/>
          <w:smallCaps w:val="0"/>
          <w:shd w:fill="auto" w:val="clear"/>
        </w:rPr>
        <w:t>COMPLAINT, INVESTIGATION AND INTERVENTIONS PROCESS</w:t>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Confidentiality and Neutrality</w:t>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The APMHA recognizes the sensitive and serious nature of abuse and harassment, in particular of coming forward with a complaint or of being accused, and will strive to keep all matters related to a complaint confidential. However, if required by law to disclose information, the APMHA will do so. </w:t>
      </w:r>
      <w:r w:rsidR="00000000" w:rsidDel="00000000" w:rsidRPr="00000000">
        <w:rPr>
          <w:rtl w:val="0"/>
        </w:rPr>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The APMHA members receiving complaints shall act with complete neutrality. Just as the complainant has a right to make a complaint, the accused has a right to know that a complaint has been made, and to respond. There are two sides to every story and the first task in sorting out the merits of a complaint is to gather the facts.</w:t>
      </w:r>
      <w:r w:rsidR="00000000" w:rsidDel="00000000" w:rsidRPr="00000000">
        <w:rPr>
          <w:rtl w:val="0"/>
        </w:rPr>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Should a member bring forth a complaint/disclosure describing an issue of abuse or serious harassment, regardless of the scenario or individual’s involved, if the complaint/disclosure is of an abusive or criminal nature, document and report it immediately to your local Child Protection Agency and/or the local Police Detachment, ask for instructions.</w:t>
      </w:r>
      <w:r w:rsidR="00000000" w:rsidDel="00000000" w:rsidRPr="00000000">
        <w:rPr>
          <w:rtl w:val="0"/>
        </w:rPr>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20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21" w:rsidP="00000000" w:rsidRPr="00000000">
      <w:pPr>
        <w:ind w:firstLine="720"/>
      </w:pPr>
      <w:r w:rsidR="00000000" w:rsidDel="00000000" w:rsidRPr="00000000">
        <w:rPr>
          <w:rtl w:val="0"/>
          <w:b/>
        </w:rPr>
        <w:t>Reporting of Complaint/Disclosure</w:t>
      </w:r>
      <w:r w:rsidR="00000000" w:rsidDel="00000000" w:rsidRPr="00000000">
        <w:rPr>
          <w:rtl w:val="0"/>
        </w:rPr>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Any person wanting to file a complaint for follow-up action should report the complaint to the APMHA Director of Discipline and Risk Management and/or President.  </w:t>
      </w:r>
      <w:r w:rsidR="00000000" w:rsidDel="00000000" w:rsidRPr="00000000">
        <w:rPr>
          <w:rtl w:val="0"/>
        </w:rPr>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Where a third party person believes there is sufficient evidence to warrant laying a formal complaint, but the victim is apprehensive, unsure or unable to independently bring forth his/her complaint, the third party person, on behalf of the victim, may bring forth the complaint, verbally or in writing. </w:t>
      </w:r>
      <w:r w:rsidR="00000000" w:rsidDel="00000000" w:rsidRPr="00000000">
        <w:rPr>
          <w:rtl w:val="0"/>
        </w:rPr>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Anonymous complaints may be received and mean that there is a possibility that something is wrong and therefore, a discreet investigation is needed.  These complaints will be investigated in order to determine if the complaint is founded.  </w:t>
      </w:r>
      <w:r w:rsidR="00000000" w:rsidDel="00000000" w:rsidRPr="00000000">
        <w:rPr>
          <w:rtl w:val="0"/>
        </w:rPr>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Upon receipt of a complaint the Director of Discipline and Risk Management will open an investigation into the complaint.  All relevant information will be examined and investigated.  The result of the investigation will be disclosed to the APMHA President and the information will be held by the APMHA Director of Discipline and Risk Management.  </w:t>
      </w:r>
      <w:r w:rsidR="00000000" w:rsidDel="00000000" w:rsidRPr="00000000">
        <w:rPr>
          <w:rtl w:val="0"/>
        </w:rPr>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Only if the complaint is deemed to be founded will the involved parties be notified.  If the complaint is concluded to be unfounded, the complainant will be notified of the result and the complaint will be deemed as closed.</w:t>
      </w:r>
      <w:r w:rsidR="00000000" w:rsidDel="00000000" w:rsidRPr="00000000">
        <w:rPr>
          <w:rtl w:val="0"/>
        </w:rPr>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Hearing and Sanctions </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 hearing may be required in order to resolve a complaint or to impose sanctions.  If a hearing is required, the Director of Discipline and Risk Management will activate a hearing committee composed of the Director of Discipline and Risk Management and two other members of the APMHA Executive.   </w:t>
      </w:r>
      <w:r w:rsidR="00000000" w:rsidDel="00000000" w:rsidRPr="00000000">
        <w:rPr>
          <w:rtl w:val="0"/>
        </w:rPr>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The hearing committee will examine the information and evidence of the complaint and listen to the evidence of the involved parties.  Written and signed submissions may be considered but given little weight as the hearing committee will not have a chance to discuss the contents with the complainant if they are not present.</w:t>
      </w:r>
      <w:r w:rsidR="00000000" w:rsidDel="00000000" w:rsidRPr="00000000">
        <w:rPr>
          <w:rtl w:val="0"/>
        </w:rPr>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Consequences for a breach of the Code of Conduct can range from a warning to suspension of the member from all activities of the APMHA.   The sanction will be decided by the hearing committee and the President advised of the outcome.  The result of the hearing will be presented to the APMHA Executive at the following board meeting.  The decision will be retained on file by the Director of Discipline and Risk Management for future reference.</w:t>
      </w:r>
      <w:r w:rsidR="00000000" w:rsidDel="00000000" w:rsidRPr="00000000">
        <w:rPr>
          <w:rtl w:val="0"/>
        </w:rPr>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76"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If the complaint requires immediate action the Director of Discipline and Risk Management and/or President may impose an immediate sanction until a hearing can be completed.</w:t>
      </w:r>
      <w:r w:rsidR="00000000" w:rsidDel="00000000" w:rsidRPr="00000000">
        <w:rPr>
          <w:rtl w:val="0"/>
        </w:rPr>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By signing below I have read and agree to abide by the above code of conduct:</w:t>
      </w:r>
    </w:p>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Player Name: _________________________________________     Date: _____________________________</w:t>
      </w:r>
    </w:p>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Parent 1 Signature: ________________________________________________________________________</w:t>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bookmarkStart w:colFirst="0" w:colLast="0" w:name="_gjdgxs" w:id="0"/>
      <w:bookmarkEnd w:id="0"/>
      <w:r w:rsidR="00000000" w:rsidDel="00000000" w:rsidRPr="00000000">
        <w:rPr>
          <w:rtl w:val="0"/>
          <w:b w:val="0"/>
          <w:i w:val="0"/>
          <w:u w:val="none"/>
          <w:strike w:val="0"/>
          <w:color w:val="000000"/>
          <w:rFonts w:ascii="Calibri" w:cs="Calibri" w:eastAsia="Calibri" w:hAnsi="Calibri"/>
          <w:sz w:val="22"/>
          <w:szCs w:val="22"/>
          <w:smallCaps w:val="0"/>
          <w:shd w:fill="auto" w:val="clear"/>
        </w:rPr>
        <w:t>Parent 2 Signature: ________________________________________________________________________</w:t>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pageBreakBefore w:val="0"/>
        <w:spacing w:before="0" w:after="20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sectPr>
      <w:pgNumType w:start="1"/>
      <w:pgSz w:w="12240" w:h="15840" w:orient="portrait"/>
      <w:pgMar w:left="720" w:right="720" w:top="720" w:bottom="72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Cambria"/>
  <w:font w:name="Georgia"/>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